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ED" w:rsidRDefault="00BF44ED" w:rsidP="00BF44ED">
      <w:pPr>
        <w:jc w:val="center"/>
        <w:rPr>
          <w:b/>
          <w:sz w:val="40"/>
          <w:szCs w:val="40"/>
          <w:u w:val="single"/>
        </w:rPr>
      </w:pPr>
    </w:p>
    <w:p w:rsidR="00BF44ED" w:rsidRPr="00BF44ED" w:rsidRDefault="00BF44ED" w:rsidP="00BF44ED">
      <w:pPr>
        <w:jc w:val="center"/>
        <w:rPr>
          <w:b/>
          <w:sz w:val="40"/>
          <w:szCs w:val="40"/>
          <w:u w:val="single"/>
        </w:rPr>
      </w:pPr>
      <w:r w:rsidRPr="00BF44ED">
        <w:rPr>
          <w:b/>
          <w:sz w:val="40"/>
          <w:szCs w:val="40"/>
          <w:u w:val="single"/>
        </w:rPr>
        <w:t>INOVAČNÍ VOUCHERY 2011 - VÝSLEDKY</w:t>
      </w:r>
    </w:p>
    <w:p w:rsidR="00BF44ED" w:rsidRDefault="00BF44ED"/>
    <w:tbl>
      <w:tblPr>
        <w:tblpPr w:leftFromText="141" w:rightFromText="141" w:vertAnchor="text" w:horzAnchor="margin" w:tblpXSpec="center" w:tblpY="425"/>
        <w:tblW w:w="8020" w:type="dxa"/>
        <w:tblCellMar>
          <w:left w:w="70" w:type="dxa"/>
          <w:right w:w="70" w:type="dxa"/>
        </w:tblCellMar>
        <w:tblLook w:val="04A0"/>
      </w:tblPr>
      <w:tblGrid>
        <w:gridCol w:w="5696"/>
        <w:gridCol w:w="2324"/>
      </w:tblGrid>
      <w:tr w:rsidR="00BF44ED" w:rsidRPr="00BF44ED" w:rsidTr="00BF44ED">
        <w:trPr>
          <w:trHeight w:val="390"/>
        </w:trPr>
        <w:tc>
          <w:tcPr>
            <w:tcW w:w="8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BF44ED" w:rsidRPr="00BF44ED" w:rsidRDefault="00BF44ED" w:rsidP="00BF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Vylosované Inovační vouchery 2011</w:t>
            </w:r>
          </w:p>
        </w:tc>
      </w:tr>
      <w:tr w:rsidR="00BF44ED" w:rsidRPr="00BF44ED" w:rsidTr="00BF44ED">
        <w:trPr>
          <w:trHeight w:val="315"/>
        </w:trPr>
        <w:tc>
          <w:tcPr>
            <w:tcW w:w="5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F44ED" w:rsidRPr="00BF44ED" w:rsidRDefault="00BF44ED" w:rsidP="00BF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Instituce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F44ED" w:rsidRPr="00BF44ED" w:rsidRDefault="00BF44ED" w:rsidP="00BF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Počet voucherů</w:t>
            </w:r>
          </w:p>
        </w:tc>
      </w:tr>
      <w:tr w:rsidR="00BF44ED" w:rsidRPr="00BF44ED" w:rsidTr="00BF44ED">
        <w:trPr>
          <w:trHeight w:val="300"/>
        </w:trPr>
        <w:tc>
          <w:tcPr>
            <w:tcW w:w="5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BF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Centrum dopravního výzkumu, </w:t>
            </w:r>
            <w:proofErr w:type="gramStart"/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v.v.</w:t>
            </w:r>
            <w:proofErr w:type="gramEnd"/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i.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BF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BF44ED" w:rsidRPr="00BF44ED" w:rsidTr="00BF44ED">
        <w:trPr>
          <w:trHeight w:val="300"/>
        </w:trPr>
        <w:tc>
          <w:tcPr>
            <w:tcW w:w="5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BF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Fakultní nemocnice u </w:t>
            </w:r>
            <w:proofErr w:type="spellStart"/>
            <w:proofErr w:type="gramStart"/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sv.Anny</w:t>
            </w:r>
            <w:proofErr w:type="spellEnd"/>
            <w:proofErr w:type="gramEnd"/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 Brně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BF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BF44ED" w:rsidRPr="00BF44ED" w:rsidTr="00BF44ED">
        <w:trPr>
          <w:trHeight w:val="300"/>
        </w:trPr>
        <w:tc>
          <w:tcPr>
            <w:tcW w:w="5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BF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Masarykova univerzita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BF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BF44ED" w:rsidRPr="00BF44ED" w:rsidTr="00BF44ED">
        <w:trPr>
          <w:trHeight w:val="300"/>
        </w:trPr>
        <w:tc>
          <w:tcPr>
            <w:tcW w:w="5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BF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Mendelova</w:t>
            </w:r>
            <w:proofErr w:type="spellEnd"/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univerzita v Brně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BF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BF44ED" w:rsidRPr="00BF44ED" w:rsidTr="00BF44ED">
        <w:trPr>
          <w:trHeight w:val="300"/>
        </w:trPr>
        <w:tc>
          <w:tcPr>
            <w:tcW w:w="5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BF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Ústav přístrojové techniky AV ČR, </w:t>
            </w:r>
            <w:proofErr w:type="gramStart"/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v.v.</w:t>
            </w:r>
            <w:proofErr w:type="gramEnd"/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i.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BF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BF44ED" w:rsidRPr="00BF44ED" w:rsidTr="00BF44ED">
        <w:trPr>
          <w:trHeight w:val="315"/>
        </w:trPr>
        <w:tc>
          <w:tcPr>
            <w:tcW w:w="5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BF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Vysoké učení technické v Brně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BF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</w:tr>
    </w:tbl>
    <w:p w:rsidR="00BF44ED" w:rsidRDefault="00BF44ED" w:rsidP="00BF44ED">
      <w:pPr>
        <w:jc w:val="center"/>
      </w:pPr>
    </w:p>
    <w:p w:rsidR="00BF44ED" w:rsidRDefault="00BF44ED" w:rsidP="00BF44ED">
      <w:pPr>
        <w:jc w:val="center"/>
      </w:pPr>
    </w:p>
    <w:p w:rsidR="00BF44ED" w:rsidRDefault="00BF44ED"/>
    <w:p w:rsidR="00BF44ED" w:rsidRDefault="00BF44ED"/>
    <w:p w:rsidR="00BF44ED" w:rsidRDefault="00BF44ED"/>
    <w:p w:rsidR="00BF44ED" w:rsidRDefault="00BF44ED"/>
    <w:p w:rsidR="00BF44ED" w:rsidRDefault="00BF44ED"/>
    <w:p w:rsidR="00BF44ED" w:rsidRDefault="00BF44ED"/>
    <w:p w:rsidR="00BF44ED" w:rsidRDefault="00BF44ED"/>
    <w:p w:rsidR="00BF44ED" w:rsidRDefault="00BF44ED">
      <w:r w:rsidRPr="00BF44ED">
        <w:drawing>
          <wp:inline distT="0" distB="0" distL="0" distR="0">
            <wp:extent cx="5695951" cy="2400300"/>
            <wp:effectExtent l="57150" t="19050" r="38099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F44ED" w:rsidRDefault="00BF44ED"/>
    <w:p w:rsidR="00BF44ED" w:rsidRDefault="00BF44ED"/>
    <w:p w:rsidR="00BF44ED" w:rsidRDefault="00BF44ED"/>
    <w:p w:rsidR="00BF44ED" w:rsidRDefault="00BF44ED"/>
    <w:p w:rsidR="00BF44ED" w:rsidRDefault="00BF44ED"/>
    <w:p w:rsidR="00BF44ED" w:rsidRDefault="00BF44ED"/>
    <w:p w:rsidR="00BF44ED" w:rsidRDefault="00BF44ED"/>
    <w:tbl>
      <w:tblPr>
        <w:tblW w:w="6823" w:type="dxa"/>
        <w:tblInd w:w="1133" w:type="dxa"/>
        <w:tblCellMar>
          <w:left w:w="70" w:type="dxa"/>
          <w:right w:w="70" w:type="dxa"/>
        </w:tblCellMar>
        <w:tblLook w:val="04A0"/>
      </w:tblPr>
      <w:tblGrid>
        <w:gridCol w:w="718"/>
        <w:gridCol w:w="5301"/>
        <w:gridCol w:w="804"/>
      </w:tblGrid>
      <w:tr w:rsidR="00BF44ED" w:rsidRPr="00BF44ED" w:rsidTr="00BF44ED">
        <w:trPr>
          <w:trHeight w:val="390"/>
        </w:trPr>
        <w:tc>
          <w:tcPr>
            <w:tcW w:w="68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Vylosované inovační vouchery pro VUT</w:t>
            </w:r>
          </w:p>
        </w:tc>
      </w:tr>
      <w:tr w:rsidR="00BF44ED" w:rsidRPr="00BF44ED" w:rsidTr="00BF44ED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Pořadí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Firma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Fakulta</w:t>
            </w:r>
          </w:p>
        </w:tc>
      </w:tr>
      <w:tr w:rsidR="00BF44ED" w:rsidRPr="00BF44ED" w:rsidTr="00BF44ED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Kuličkové šrouby </w:t>
            </w:r>
            <w:proofErr w:type="spellStart"/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Kuřim</w:t>
            </w:r>
            <w:proofErr w:type="spellEnd"/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, a.s.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FSI</w:t>
            </w:r>
          </w:p>
        </w:tc>
      </w:tr>
      <w:tr w:rsidR="00BF44ED" w:rsidRPr="00BF44ED" w:rsidTr="00BF44ED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 - </w:t>
            </w:r>
            <w:proofErr w:type="spellStart"/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consulting</w:t>
            </w:r>
            <w:proofErr w:type="spellEnd"/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FIT</w:t>
            </w:r>
          </w:p>
        </w:tc>
      </w:tr>
      <w:tr w:rsidR="00BF44ED" w:rsidRPr="00BF44ED" w:rsidTr="00BF44ED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Röchling</w:t>
            </w:r>
            <w:proofErr w:type="spellEnd"/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Engineering</w:t>
            </w:r>
            <w:proofErr w:type="spellEnd"/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Plastics</w:t>
            </w:r>
            <w:proofErr w:type="spellEnd"/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, s.r.o.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FCH</w:t>
            </w:r>
          </w:p>
        </w:tc>
      </w:tr>
      <w:tr w:rsidR="00BF44ED" w:rsidRPr="00BF44ED" w:rsidTr="00BF44ED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Sika CZ, s.r.o.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FAST</w:t>
            </w:r>
          </w:p>
        </w:tc>
      </w:tr>
      <w:tr w:rsidR="00BF44ED" w:rsidRPr="00BF44ED" w:rsidTr="00BF44ED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Optimicon</w:t>
            </w:r>
            <w:proofErr w:type="spellEnd"/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, s.r.o.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FSI</w:t>
            </w:r>
          </w:p>
        </w:tc>
      </w:tr>
      <w:tr w:rsidR="00BF44ED" w:rsidRPr="00BF44ED" w:rsidTr="00BF44ED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CISC </w:t>
            </w:r>
            <w:proofErr w:type="spellStart"/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Semiconductor</w:t>
            </w:r>
            <w:proofErr w:type="spellEnd"/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Design+</w:t>
            </w:r>
            <w:proofErr w:type="spellStart"/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Consulting</w:t>
            </w:r>
            <w:proofErr w:type="spellEnd"/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GmbH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FEKT</w:t>
            </w:r>
          </w:p>
        </w:tc>
      </w:tr>
      <w:tr w:rsidR="00BF44ED" w:rsidRPr="00BF44ED" w:rsidTr="00BF44ED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KB - BLOK </w:t>
            </w:r>
            <w:proofErr w:type="spellStart"/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system</w:t>
            </w:r>
            <w:proofErr w:type="spellEnd"/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, s.r.o.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FAST</w:t>
            </w:r>
          </w:p>
        </w:tc>
      </w:tr>
      <w:tr w:rsidR="00BF44ED" w:rsidRPr="00BF44ED" w:rsidTr="00BF44ED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TBS </w:t>
            </w:r>
            <w:proofErr w:type="spellStart"/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Deutschland</w:t>
            </w:r>
            <w:proofErr w:type="spellEnd"/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AG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FIT</w:t>
            </w:r>
          </w:p>
        </w:tc>
      </w:tr>
      <w:tr w:rsidR="00BF44ED" w:rsidRPr="00BF44ED" w:rsidTr="00BF44ED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OMICRON - MARINE s.r.o.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FEKT</w:t>
            </w:r>
          </w:p>
        </w:tc>
      </w:tr>
      <w:tr w:rsidR="00BF44ED" w:rsidRPr="00BF44ED" w:rsidTr="00BF44ED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VODÁRENSKÁ AKCIOVÁ SPOLEČNOST a.s.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FAST</w:t>
            </w:r>
          </w:p>
        </w:tc>
      </w:tr>
      <w:tr w:rsidR="00BF44ED" w:rsidRPr="00BF44ED" w:rsidTr="00BF44ED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BM TECHNIK s.r.o.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FSI</w:t>
            </w:r>
          </w:p>
        </w:tc>
      </w:tr>
      <w:tr w:rsidR="00BF44ED" w:rsidRPr="00BF44ED" w:rsidTr="00BF44ED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Siemens </w:t>
            </w:r>
            <w:proofErr w:type="spellStart"/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Industrial</w:t>
            </w:r>
            <w:proofErr w:type="spellEnd"/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Turbomachinery</w:t>
            </w:r>
            <w:proofErr w:type="spellEnd"/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, s.r.o.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FSI</w:t>
            </w:r>
          </w:p>
        </w:tc>
      </w:tr>
      <w:tr w:rsidR="00BF44ED" w:rsidRPr="00BF44ED" w:rsidTr="00BF44ED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M D Let s.r.o.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FSI</w:t>
            </w:r>
          </w:p>
        </w:tc>
      </w:tr>
      <w:tr w:rsidR="00BF44ED" w:rsidRPr="00BF44ED" w:rsidTr="00BF44ED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ENVI-PUR s.r.o.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FAST</w:t>
            </w:r>
          </w:p>
        </w:tc>
      </w:tr>
      <w:tr w:rsidR="00BF44ED" w:rsidRPr="00BF44ED" w:rsidTr="00BF44ED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5M s.r.o.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FSI</w:t>
            </w:r>
          </w:p>
        </w:tc>
      </w:tr>
      <w:tr w:rsidR="00BF44ED" w:rsidRPr="00BF44ED" w:rsidTr="00BF44ED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THERMACUT, s.r.o.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FSI</w:t>
            </w:r>
          </w:p>
        </w:tc>
      </w:tr>
      <w:tr w:rsidR="00BF44ED" w:rsidRPr="00BF44ED" w:rsidTr="00BF44ED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DOSTING,  spol.</w:t>
            </w:r>
            <w:proofErr w:type="gramEnd"/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 r.o.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FAST</w:t>
            </w:r>
          </w:p>
        </w:tc>
      </w:tr>
      <w:tr w:rsidR="00BF44ED" w:rsidRPr="00BF44ED" w:rsidTr="00BF44ED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K-PROFI, spol. s r.o.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FSI</w:t>
            </w:r>
          </w:p>
        </w:tc>
      </w:tr>
      <w:tr w:rsidR="00BF44ED" w:rsidRPr="00BF44ED" w:rsidTr="00BF44ED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Brněnské vodárny a kanalizace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FAST</w:t>
            </w:r>
          </w:p>
        </w:tc>
      </w:tr>
      <w:tr w:rsidR="00BF44ED" w:rsidRPr="00BF44ED" w:rsidTr="00BF44ED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UMIKOV CZ s.r.o.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FSI</w:t>
            </w:r>
          </w:p>
        </w:tc>
      </w:tr>
      <w:tr w:rsidR="00BF44ED" w:rsidRPr="00BF44ED" w:rsidTr="00BF44ED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44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RESUN INVEST s.r.o.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FAST</w:t>
            </w:r>
          </w:p>
        </w:tc>
      </w:tr>
      <w:tr w:rsidR="00BF44ED" w:rsidRPr="00BF44ED" w:rsidTr="00BF44ED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SATSYS Technology a.s.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FAST</w:t>
            </w:r>
          </w:p>
        </w:tc>
      </w:tr>
      <w:tr w:rsidR="00BF44ED" w:rsidRPr="00BF44ED" w:rsidTr="00BF44ED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Zemědělské družstvo </w:t>
            </w:r>
            <w:proofErr w:type="spellStart"/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Rpety</w:t>
            </w:r>
            <w:proofErr w:type="spellEnd"/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 sídlem ve </w:t>
            </w:r>
            <w:proofErr w:type="spellStart"/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Rpetech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FSI</w:t>
            </w:r>
          </w:p>
        </w:tc>
      </w:tr>
      <w:tr w:rsidR="00BF44ED" w:rsidRPr="00BF44ED" w:rsidTr="00BF44ED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49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SCIA CZ, s.r.o.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FAST</w:t>
            </w:r>
          </w:p>
        </w:tc>
      </w:tr>
      <w:tr w:rsidR="00BF44ED" w:rsidRPr="00BF44ED" w:rsidTr="00BF44ED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GINA Software s.r.o.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FIT</w:t>
            </w:r>
          </w:p>
        </w:tc>
      </w:tr>
      <w:tr w:rsidR="00BF44ED" w:rsidRPr="00BF44ED" w:rsidTr="00BF44ED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51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ŠKODA MACHINE TOOL a.s.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ED" w:rsidRPr="00BF44ED" w:rsidRDefault="00BF44ED" w:rsidP="006E3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4ED">
              <w:rPr>
                <w:rFonts w:ascii="Calibri" w:eastAsia="Times New Roman" w:hAnsi="Calibri" w:cs="Calibri"/>
                <w:color w:val="000000"/>
                <w:lang w:eastAsia="cs-CZ"/>
              </w:rPr>
              <w:t>FSI</w:t>
            </w:r>
          </w:p>
        </w:tc>
      </w:tr>
    </w:tbl>
    <w:p w:rsidR="00BF44ED" w:rsidRDefault="00BF44ED" w:rsidP="00BF44ED"/>
    <w:p w:rsidR="00BF44ED" w:rsidRDefault="00BF44ED">
      <w:r>
        <w:t xml:space="preserve">          </w:t>
      </w:r>
      <w:r w:rsidRPr="00BF44ED">
        <w:drawing>
          <wp:inline distT="0" distB="0" distL="0" distR="0">
            <wp:extent cx="4924425" cy="2743200"/>
            <wp:effectExtent l="57150" t="19050" r="28575" b="0"/>
            <wp:docPr id="3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958CD" w:rsidRDefault="000958C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NÁHRADNÍCI</w:t>
      </w:r>
    </w:p>
    <w:p w:rsidR="000958CD" w:rsidRDefault="000958CD">
      <w:pPr>
        <w:rPr>
          <w:b/>
          <w:sz w:val="32"/>
          <w:szCs w:val="32"/>
          <w:u w:val="single"/>
        </w:rPr>
      </w:pPr>
    </w:p>
    <w:tbl>
      <w:tblPr>
        <w:tblW w:w="942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820"/>
        <w:gridCol w:w="4360"/>
        <w:gridCol w:w="3660"/>
        <w:gridCol w:w="580"/>
      </w:tblGrid>
      <w:tr w:rsidR="000958CD" w:rsidRPr="000958CD" w:rsidTr="000958CD">
        <w:trPr>
          <w:trHeight w:val="30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9795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PASIČ spol. s r.o.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Mendelova</w:t>
            </w:r>
            <w:proofErr w:type="spellEnd"/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univerzita v Brně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58CD" w:rsidRPr="000958CD" w:rsidTr="000958CD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9795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53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NEE </w:t>
            </w:r>
            <w:proofErr w:type="spellStart"/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Innovations</w:t>
            </w:r>
            <w:proofErr w:type="spellEnd"/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Vysoké učení technické v Brně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FEKT</w:t>
            </w:r>
          </w:p>
        </w:tc>
      </w:tr>
      <w:tr w:rsidR="000958CD" w:rsidRPr="000958CD" w:rsidTr="000958CD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9795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STROJÍRNA NOVOTNÝ s.r.o.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Mendelova</w:t>
            </w:r>
            <w:proofErr w:type="spellEnd"/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univerzita v Brně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58CD" w:rsidRPr="000958CD" w:rsidTr="000958CD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9795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55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ProVenkov</w:t>
            </w:r>
            <w:proofErr w:type="spellEnd"/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spol. s r.o.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Vysoké učení technické v Brně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FCH</w:t>
            </w:r>
          </w:p>
        </w:tc>
      </w:tr>
      <w:tr w:rsidR="000958CD" w:rsidRPr="000958CD" w:rsidTr="000958CD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9795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56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HYDROBETON s.r.o.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Vysoké učení technické v Brně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FAST</w:t>
            </w:r>
          </w:p>
        </w:tc>
      </w:tr>
      <w:tr w:rsidR="000958CD" w:rsidRPr="000958CD" w:rsidTr="000958CD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9795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57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FaF</w:t>
            </w:r>
            <w:proofErr w:type="spellEnd"/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Top-</w:t>
            </w:r>
            <w:proofErr w:type="spellStart"/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Color</w:t>
            </w:r>
            <w:proofErr w:type="spellEnd"/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, spol. s r.o.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Vysoké učení technické v Brně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FAST</w:t>
            </w:r>
          </w:p>
        </w:tc>
      </w:tr>
      <w:tr w:rsidR="000958CD" w:rsidRPr="000958CD" w:rsidTr="000958CD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9795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58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GIFOS, s.r.o.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Vysoké učení technické v Brně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FSI</w:t>
            </w:r>
          </w:p>
        </w:tc>
      </w:tr>
      <w:tr w:rsidR="000958CD" w:rsidRPr="000958CD" w:rsidTr="000958CD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9795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ASIO, spol. s r.o.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Mendelova</w:t>
            </w:r>
            <w:proofErr w:type="spellEnd"/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univerzita v Brně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58CD" w:rsidRPr="000958CD" w:rsidTr="000958CD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9795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Enantis</w:t>
            </w:r>
            <w:proofErr w:type="spellEnd"/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Vysoké učení technické v Brně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FEKT</w:t>
            </w:r>
          </w:p>
        </w:tc>
      </w:tr>
      <w:tr w:rsidR="000958CD" w:rsidRPr="000958CD" w:rsidTr="000958CD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9795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61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ALUCAST s.r.o.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Vysoké učení technické v Brně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FSI</w:t>
            </w:r>
          </w:p>
        </w:tc>
      </w:tr>
      <w:tr w:rsidR="000958CD" w:rsidRPr="000958CD" w:rsidTr="000958CD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9795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62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CIUR a.s.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Vysoké učení technické v Brně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FAST</w:t>
            </w:r>
          </w:p>
        </w:tc>
      </w:tr>
      <w:tr w:rsidR="000958CD" w:rsidRPr="000958CD" w:rsidTr="000958CD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9795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63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EnviTec</w:t>
            </w:r>
            <w:proofErr w:type="spellEnd"/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Biogas</w:t>
            </w:r>
            <w:proofErr w:type="spellEnd"/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Central</w:t>
            </w:r>
            <w:proofErr w:type="spellEnd"/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Europe</w:t>
            </w:r>
            <w:proofErr w:type="spellEnd"/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Mendelova</w:t>
            </w:r>
            <w:proofErr w:type="spellEnd"/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univerzita v Brně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58CD" w:rsidRPr="000958CD" w:rsidTr="000958CD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9795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64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PSI (</w:t>
            </w:r>
            <w:proofErr w:type="spellStart"/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Photon</w:t>
            </w:r>
            <w:proofErr w:type="spellEnd"/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Systems</w:t>
            </w:r>
            <w:proofErr w:type="spellEnd"/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Instruments), spol. s r.o.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Ústav přístrojové techniky AV ČR, </w:t>
            </w:r>
            <w:proofErr w:type="gramStart"/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v.v.</w:t>
            </w:r>
            <w:proofErr w:type="gramEnd"/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i.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58CD" w:rsidRPr="000958CD" w:rsidTr="000958CD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9795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KWS OSIVA s.r.o.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Mendelova</w:t>
            </w:r>
            <w:proofErr w:type="spellEnd"/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univerzita v Brně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58CD" w:rsidRPr="000958CD" w:rsidTr="000958CD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9795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66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Wera</w:t>
            </w:r>
            <w:proofErr w:type="spellEnd"/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Werk</w:t>
            </w:r>
            <w:proofErr w:type="spellEnd"/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Vysoké učení technické v Brně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FSI</w:t>
            </w:r>
          </w:p>
        </w:tc>
      </w:tr>
      <w:tr w:rsidR="000958CD" w:rsidRPr="000958CD" w:rsidTr="000958CD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9795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MG - RING s.r.o.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Vysoké učení technické v Brně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FAST</w:t>
            </w:r>
          </w:p>
        </w:tc>
      </w:tr>
      <w:tr w:rsidR="000958CD" w:rsidRPr="000958CD" w:rsidTr="000958CD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9795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68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BS PRAGUE MEDICAL CS, spol. s r.o.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Fakultní nemocnice u </w:t>
            </w:r>
            <w:proofErr w:type="spellStart"/>
            <w:proofErr w:type="gramStart"/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sv.Anny</w:t>
            </w:r>
            <w:proofErr w:type="spellEnd"/>
            <w:proofErr w:type="gramEnd"/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 Brně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58CD" w:rsidRPr="000958CD" w:rsidTr="000958CD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9795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69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LAC, s.r.o.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Vysoké učení technické v Brně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FSI</w:t>
            </w:r>
          </w:p>
        </w:tc>
      </w:tr>
      <w:tr w:rsidR="000958CD" w:rsidRPr="000958CD" w:rsidTr="000958CD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9795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70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TONDACH Česká republika s.r.o.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Vysoké učení technické v Brně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CD" w:rsidRPr="000958CD" w:rsidRDefault="000958CD" w:rsidP="0009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8CD">
              <w:rPr>
                <w:rFonts w:ascii="Calibri" w:eastAsia="Times New Roman" w:hAnsi="Calibri" w:cs="Calibri"/>
                <w:color w:val="000000"/>
                <w:lang w:eastAsia="cs-CZ"/>
              </w:rPr>
              <w:t>FAST</w:t>
            </w:r>
          </w:p>
        </w:tc>
      </w:tr>
    </w:tbl>
    <w:p w:rsidR="000958CD" w:rsidRPr="000958CD" w:rsidRDefault="000958CD">
      <w:pPr>
        <w:rPr>
          <w:b/>
          <w:sz w:val="32"/>
          <w:szCs w:val="32"/>
          <w:u w:val="single"/>
        </w:rPr>
      </w:pPr>
    </w:p>
    <w:sectPr w:rsidR="000958CD" w:rsidRPr="000958CD" w:rsidSect="00E43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F44ED"/>
    <w:rsid w:val="000958CD"/>
    <w:rsid w:val="00BF44ED"/>
    <w:rsid w:val="00E43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F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4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4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safarcikova\Documents\Inova&#269;n&#237;%20vouchery\VYLOSOV&#193;N&#201;%20VOUCHERY%202011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safarcikova\Documents\Inova&#269;n&#237;%20vouchery\VYLOSOV&#193;N&#201;%20VOUCHERY%2020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4.4593080242438972E-2"/>
          <c:y val="0.14580451443569553"/>
          <c:w val="0.57109374711966443"/>
          <c:h val="0.85239097112860895"/>
        </c:manualLayout>
      </c:layout>
      <c:pie3DChart>
        <c:varyColors val="1"/>
        <c:ser>
          <c:idx val="0"/>
          <c:order val="0"/>
          <c:explosion val="25"/>
          <c:dPt>
            <c:idx val="0"/>
            <c:explosion val="1"/>
          </c:dPt>
          <c:dPt>
            <c:idx val="1"/>
            <c:explosion val="3"/>
          </c:dPt>
          <c:dPt>
            <c:idx val="2"/>
            <c:explosion val="2"/>
          </c:dPt>
          <c:dPt>
            <c:idx val="3"/>
            <c:explosion val="3"/>
          </c:dPt>
          <c:dPt>
            <c:idx val="4"/>
            <c:explosion val="4"/>
          </c:dPt>
          <c:dPt>
            <c:idx val="5"/>
            <c:explosion val="4"/>
          </c:dPt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showVal val="1"/>
            </c:dLbl>
            <c:dLbl>
              <c:idx val="5"/>
              <c:showVal val="1"/>
            </c:dLbl>
            <c:delete val="1"/>
            <c:txPr>
              <a:bodyPr/>
              <a:lstStyle/>
              <a:p>
                <a:pPr>
                  <a:defRPr sz="1400" b="1" cap="none" spc="0">
                    <a:ln w="1905"/>
                    <a:solidFill>
                      <a:schemeClr val="tx1">
                        <a:lumMod val="75000"/>
                        <a:lumOff val="25000"/>
                      </a:schemeClr>
                    </a:solidFill>
                    <a:effectLst>
                      <a:innerShdw blurRad="69850" dist="43180" dir="5400000">
                        <a:srgbClr val="000000">
                          <a:alpha val="65000"/>
                        </a:srgbClr>
                      </a:innerShdw>
                    </a:effectLst>
                  </a:defRPr>
                </a:pPr>
                <a:endParaRPr lang="cs-CZ"/>
              </a:p>
            </c:txPr>
          </c:dLbls>
          <c:cat>
            <c:strRef>
              <c:f>'VYLOSOVANÉ CELKOVĚ'!$B$4:$B$9</c:f>
              <c:strCache>
                <c:ptCount val="6"/>
                <c:pt idx="0">
                  <c:v>Centrum dopravního výzkumu, v.v.i.</c:v>
                </c:pt>
                <c:pt idx="1">
                  <c:v>Fakultní nemocnice u sv.Anny v Brně</c:v>
                </c:pt>
                <c:pt idx="2">
                  <c:v>Masarykova univerzita</c:v>
                </c:pt>
                <c:pt idx="3">
                  <c:v>Mendelova univerzita v Brně</c:v>
                </c:pt>
                <c:pt idx="4">
                  <c:v>Ústav přístrojové techniky AV ČR, v.v.i.</c:v>
                </c:pt>
                <c:pt idx="5">
                  <c:v>Vysoké učení technické v Brně</c:v>
                </c:pt>
              </c:strCache>
            </c:strRef>
          </c:cat>
          <c:val>
            <c:numRef>
              <c:f>'VYLOSOVANÉ CELKOVĚ'!$C$4:$C$9</c:f>
              <c:numCache>
                <c:formatCode>General</c:formatCode>
                <c:ptCount val="6"/>
                <c:pt idx="0">
                  <c:v>6</c:v>
                </c:pt>
                <c:pt idx="1">
                  <c:v>6</c:v>
                </c:pt>
                <c:pt idx="2">
                  <c:v>8</c:v>
                </c:pt>
                <c:pt idx="3">
                  <c:v>3</c:v>
                </c:pt>
                <c:pt idx="4">
                  <c:v>2</c:v>
                </c:pt>
                <c:pt idx="5">
                  <c:v>26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5359094556817743"/>
          <c:y val="3.1340950802202359E-2"/>
          <c:w val="0.32909587880935115"/>
          <c:h val="0.95764529433820889"/>
        </c:manualLayout>
      </c:layout>
      <c:txPr>
        <a:bodyPr/>
        <a:lstStyle/>
        <a:p>
          <a:pPr>
            <a:defRPr b="1" cap="none" spc="0">
              <a:ln w="1905"/>
              <a:solidFill>
                <a:schemeClr val="tx1">
                  <a:lumMod val="75000"/>
                  <a:lumOff val="25000"/>
                </a:schemeClr>
              </a:solidFill>
              <a:effectLst>
                <a:innerShdw blurRad="69850" dist="43180" dir="5400000">
                  <a:srgbClr val="000000">
                    <a:alpha val="65000"/>
                  </a:srgbClr>
                </a:innerShdw>
              </a:effectLst>
            </a:defRPr>
          </a:pPr>
          <a:endParaRPr lang="cs-CZ"/>
        </a:p>
      </c:txPr>
    </c:legend>
    <c:plotVisOnly val="1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scene3d>
      <a:camera prst="orthographicFront"/>
      <a:lightRig rig="threePt" dir="t"/>
    </a:scene3d>
    <a:sp3d>
      <a:bevelT/>
    </a:sp3d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4.4444444444444502E-2"/>
          <c:y val="0.12037037037037036"/>
          <c:w val="0.80323753280839894"/>
          <c:h val="0.87962962962963098"/>
        </c:manualLayout>
      </c:layout>
      <c:pie3DChart>
        <c:varyColors val="1"/>
        <c:ser>
          <c:idx val="0"/>
          <c:order val="0"/>
          <c:dPt>
            <c:idx val="0"/>
            <c:explosion val="3"/>
          </c:dPt>
          <c:dPt>
            <c:idx val="1"/>
            <c:explosion val="2"/>
          </c:dPt>
          <c:dPt>
            <c:idx val="2"/>
            <c:explosion val="2"/>
          </c:dPt>
          <c:dPt>
            <c:idx val="3"/>
            <c:explosion val="1"/>
          </c:dPt>
          <c:dPt>
            <c:idx val="4"/>
            <c:explosion val="2"/>
          </c:dPt>
          <c:dLbls>
            <c:txPr>
              <a:bodyPr/>
              <a:lstStyle/>
              <a:p>
                <a:pPr>
                  <a:defRPr sz="1800" b="1" cap="none" spc="0">
                    <a:ln w="1905"/>
                    <a:solidFill>
                      <a:schemeClr val="tx1">
                        <a:lumMod val="75000"/>
                        <a:lumOff val="25000"/>
                      </a:schemeClr>
                    </a:solidFill>
                    <a:effectLst>
                      <a:innerShdw blurRad="69850" dist="43180" dir="5400000">
                        <a:srgbClr val="000000">
                          <a:alpha val="65000"/>
                        </a:srgbClr>
                      </a:innerShdw>
                    </a:effectLst>
                  </a:defRPr>
                </a:pPr>
                <a:endParaRPr lang="cs-CZ"/>
              </a:p>
            </c:txPr>
            <c:showVal val="1"/>
            <c:showLeaderLines val="1"/>
          </c:dLbls>
          <c:cat>
            <c:strRef>
              <c:f>'VYLOSOVANÉ VUT'!$E$3:$E$7</c:f>
              <c:strCache>
                <c:ptCount val="5"/>
                <c:pt idx="0">
                  <c:v>FAST</c:v>
                </c:pt>
                <c:pt idx="1">
                  <c:v>FEKT</c:v>
                </c:pt>
                <c:pt idx="2">
                  <c:v>FCH</c:v>
                </c:pt>
                <c:pt idx="3">
                  <c:v>FIT</c:v>
                </c:pt>
                <c:pt idx="4">
                  <c:v>FSI</c:v>
                </c:pt>
              </c:strCache>
            </c:strRef>
          </c:cat>
          <c:val>
            <c:numRef>
              <c:f>'VYLOSOVANÉ VUT'!$F$3:$F$7</c:f>
              <c:numCache>
                <c:formatCode>General</c:formatCode>
                <c:ptCount val="5"/>
                <c:pt idx="0">
                  <c:v>9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11</c:v>
                </c:pt>
              </c:numCache>
            </c:numRef>
          </c:val>
        </c:ser>
      </c:pie3DChart>
    </c:plotArea>
    <c:legend>
      <c:legendPos val="r"/>
      <c:legendEntry>
        <c:idx val="0"/>
        <c:txPr>
          <a:bodyPr/>
          <a:lstStyle/>
          <a:p>
            <a:pPr>
              <a:defRPr b="1" cap="none" spc="0">
                <a:ln w="1905"/>
                <a:solidFill>
                  <a:schemeClr val="tx1">
                    <a:lumMod val="75000"/>
                    <a:lumOff val="25000"/>
                  </a:schemeClr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</a:defRPr>
            </a:pPr>
            <a:endParaRPr lang="cs-CZ"/>
          </a:p>
        </c:txPr>
      </c:legendEntry>
      <c:legendEntry>
        <c:idx val="1"/>
        <c:txPr>
          <a:bodyPr/>
          <a:lstStyle/>
          <a:p>
            <a:pPr>
              <a:defRPr b="1" cap="none" spc="0">
                <a:ln w="1905"/>
                <a:solidFill>
                  <a:schemeClr val="tx1">
                    <a:lumMod val="75000"/>
                    <a:lumOff val="25000"/>
                  </a:schemeClr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</a:defRPr>
            </a:pPr>
            <a:endParaRPr lang="cs-CZ"/>
          </a:p>
        </c:txPr>
      </c:legendEntry>
      <c:legendEntry>
        <c:idx val="2"/>
        <c:txPr>
          <a:bodyPr/>
          <a:lstStyle/>
          <a:p>
            <a:pPr>
              <a:defRPr b="1" cap="none" spc="0">
                <a:ln w="1905"/>
                <a:solidFill>
                  <a:schemeClr val="tx1">
                    <a:lumMod val="75000"/>
                    <a:lumOff val="25000"/>
                  </a:schemeClr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</a:defRPr>
            </a:pPr>
            <a:endParaRPr lang="cs-CZ"/>
          </a:p>
        </c:txPr>
      </c:legendEntry>
      <c:legendEntry>
        <c:idx val="3"/>
        <c:txPr>
          <a:bodyPr/>
          <a:lstStyle/>
          <a:p>
            <a:pPr>
              <a:defRPr b="1" cap="none" spc="0">
                <a:ln w="1905"/>
                <a:solidFill>
                  <a:schemeClr val="tx1">
                    <a:lumMod val="75000"/>
                    <a:lumOff val="25000"/>
                  </a:schemeClr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</a:defRPr>
            </a:pPr>
            <a:endParaRPr lang="cs-CZ"/>
          </a:p>
        </c:txPr>
      </c:legendEntry>
      <c:legendEntry>
        <c:idx val="4"/>
        <c:txPr>
          <a:bodyPr/>
          <a:lstStyle/>
          <a:p>
            <a:pPr>
              <a:defRPr b="1" cap="none" spc="0">
                <a:ln w="1905"/>
                <a:solidFill>
                  <a:schemeClr val="tx1">
                    <a:lumMod val="75000"/>
                    <a:lumOff val="25000"/>
                  </a:schemeClr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</a:defRPr>
            </a:pPr>
            <a:endParaRPr lang="cs-CZ"/>
          </a:p>
        </c:txPr>
      </c:legendEntry>
      <c:layout>
        <c:manualLayout>
          <c:xMode val="edge"/>
          <c:yMode val="edge"/>
          <c:x val="0.8435846456692917"/>
          <c:y val="0.25829943132108479"/>
          <c:w val="0.14252646544181979"/>
          <c:h val="0.48803040244969381"/>
        </c:manualLayout>
      </c:layout>
    </c:legend>
    <c:plotVisOnly val="1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scene3d>
      <a:camera prst="orthographicFront"/>
      <a:lightRig rig="threePt" dir="t"/>
    </a:scene3d>
    <a:sp3d>
      <a:bevelT/>
    </a:sp3d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0.0903</cdr:x>
      <cdr:y>0.028</cdr:y>
    </cdr:from>
    <cdr:to>
      <cdr:x>0.6087</cdr:x>
      <cdr:y>0.188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514351" y="67208"/>
          <a:ext cx="2952774" cy="3840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1600" b="1" cap="none" spc="0">
              <a:ln w="1905"/>
              <a:solidFill>
                <a:schemeClr val="tx1">
                  <a:lumMod val="75000"/>
                  <a:lumOff val="25000"/>
                </a:schemeClr>
              </a:solidFill>
              <a:effectLst>
                <a:innerShdw blurRad="69850" dist="43180" dir="5400000">
                  <a:srgbClr val="000000">
                    <a:alpha val="65000"/>
                  </a:srgbClr>
                </a:innerShdw>
              </a:effectLst>
            </a:rPr>
            <a:t>Vylosované</a:t>
          </a:r>
          <a:r>
            <a:rPr lang="cs-CZ" sz="1600" b="1" cap="none" spc="0" baseline="0">
              <a:ln w="1905"/>
              <a:solidFill>
                <a:schemeClr val="tx1">
                  <a:lumMod val="75000"/>
                  <a:lumOff val="25000"/>
                </a:schemeClr>
              </a:solidFill>
              <a:effectLst>
                <a:innerShdw blurRad="69850" dist="43180" dir="5400000">
                  <a:srgbClr val="000000">
                    <a:alpha val="65000"/>
                  </a:srgbClr>
                </a:innerShdw>
              </a:effectLst>
            </a:rPr>
            <a:t> vouchery 2011</a:t>
          </a:r>
          <a:endParaRPr lang="cs-CZ" sz="1600" b="1" cap="none" spc="0">
            <a:ln w="1905"/>
            <a:solidFill>
              <a:schemeClr val="tx1">
                <a:lumMod val="75000"/>
                <a:lumOff val="25000"/>
              </a:schemeClr>
            </a:solidFill>
            <a:effectLst>
              <a:innerShdw blurRad="69850" dist="43180" dir="5400000">
                <a:srgbClr val="000000">
                  <a:alpha val="65000"/>
                </a:srgbClr>
              </a:innerShdw>
            </a:effectLst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0.05208</cdr:x>
      <cdr:y>0.03472</cdr:y>
    </cdr:from>
    <cdr:to>
      <cdr:x>0.95417</cdr:x>
      <cdr:y>0.16667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238124" y="95251"/>
          <a:ext cx="4124325" cy="361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0.13153</cdr:x>
      <cdr:y>0.03125</cdr:y>
    </cdr:from>
    <cdr:to>
      <cdr:x>0.9625</cdr:x>
      <cdr:y>0.14931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647700" y="85725"/>
          <a:ext cx="4092058" cy="3238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1600" b="1" cap="none" spc="0">
              <a:ln w="1905"/>
              <a:solidFill>
                <a:schemeClr val="tx1">
                  <a:lumMod val="75000"/>
                  <a:lumOff val="25000"/>
                </a:schemeClr>
              </a:solidFill>
              <a:effectLst>
                <a:innerShdw blurRad="69850" dist="43180" dir="5400000">
                  <a:srgbClr val="000000">
                    <a:alpha val="65000"/>
                  </a:srgbClr>
                </a:innerShdw>
              </a:effectLst>
            </a:rPr>
            <a:t>Počet vylosovaných voucherů</a:t>
          </a:r>
          <a:r>
            <a:rPr lang="cs-CZ" sz="1600" b="1" cap="none" spc="0" baseline="0">
              <a:ln w="1905"/>
              <a:solidFill>
                <a:schemeClr val="tx1">
                  <a:lumMod val="75000"/>
                  <a:lumOff val="25000"/>
                </a:schemeClr>
              </a:solidFill>
              <a:effectLst>
                <a:innerShdw blurRad="69850" dist="43180" dir="5400000">
                  <a:srgbClr val="000000">
                    <a:alpha val="65000"/>
                  </a:srgbClr>
                </a:innerShdw>
              </a:effectLst>
            </a:rPr>
            <a:t> pro VUT </a:t>
          </a:r>
          <a:endParaRPr lang="cs-CZ" sz="1600" b="1" cap="none" spc="0">
            <a:ln w="1905"/>
            <a:solidFill>
              <a:schemeClr val="tx1">
                <a:lumMod val="75000"/>
                <a:lumOff val="25000"/>
              </a:schemeClr>
            </a:solidFill>
            <a:effectLst>
              <a:innerShdw blurRad="69850" dist="43180" dir="5400000">
                <a:srgbClr val="000000">
                  <a:alpha val="65000"/>
                </a:srgbClr>
              </a:innerShdw>
            </a:effectLst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347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safarcikova</dc:creator>
  <cp:lastModifiedBy>safarcikova</cp:lastModifiedBy>
  <cp:revision>2</cp:revision>
  <cp:lastPrinted>2011-05-17T06:53:00Z</cp:lastPrinted>
  <dcterms:created xsi:type="dcterms:W3CDTF">2011-05-17T06:13:00Z</dcterms:created>
  <dcterms:modified xsi:type="dcterms:W3CDTF">2011-05-17T06:55:00Z</dcterms:modified>
</cp:coreProperties>
</file>